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3C" w:rsidRDefault="006E5B3C" w:rsidP="006E5B3C">
      <w:pPr>
        <w:jc w:val="center"/>
      </w:pPr>
    </w:p>
    <w:p w:rsidR="006E5B3C" w:rsidRDefault="006E5B3C" w:rsidP="006E5B3C">
      <w:pPr>
        <w:jc w:val="center"/>
      </w:pPr>
      <w:r>
        <w:t xml:space="preserve">Programma Erasmus+ - KA1 </w:t>
      </w:r>
    </w:p>
    <w:p w:rsidR="006E5B3C" w:rsidRDefault="006E5B3C" w:rsidP="006E5B3C">
      <w:pPr>
        <w:jc w:val="center"/>
      </w:pPr>
      <w:r>
        <w:t>Mobilità Transnazionale per l'Apprendimento nel settore Istruzione e Formazione Professionale</w:t>
      </w:r>
    </w:p>
    <w:p w:rsidR="006E5B3C" w:rsidRPr="002915BA" w:rsidRDefault="006E5B3C" w:rsidP="006E5B3C">
      <w:pPr>
        <w:jc w:val="center"/>
        <w:rPr>
          <w:lang w:val="en-US"/>
        </w:rPr>
      </w:pPr>
      <w:r w:rsidRPr="002915BA">
        <w:rPr>
          <w:lang w:val="en-US"/>
        </w:rPr>
        <w:t>PROGETTO</w:t>
      </w:r>
    </w:p>
    <w:p w:rsidR="003B2977" w:rsidRPr="003D12B4" w:rsidRDefault="003B2977" w:rsidP="003D12B4">
      <w:pPr>
        <w:jc w:val="center"/>
        <w:rPr>
          <w:sz w:val="28"/>
          <w:szCs w:val="28"/>
          <w:lang w:val="en-US"/>
        </w:rPr>
      </w:pPr>
      <w:r w:rsidRPr="003D12B4">
        <w:rPr>
          <w:sz w:val="28"/>
          <w:szCs w:val="28"/>
          <w:lang w:val="en-US"/>
        </w:rPr>
        <w:t>«</w:t>
      </w:r>
      <w:r w:rsidR="003D12B4" w:rsidRPr="003D12B4">
        <w:rPr>
          <w:sz w:val="28"/>
          <w:szCs w:val="28"/>
          <w:lang w:val="en-US"/>
        </w:rPr>
        <w:t>WIN-WINe: school-company win-win cooperation to develop key competencies and skills of young learners in the wine production sector</w:t>
      </w:r>
      <w:r w:rsidR="003D12B4">
        <w:rPr>
          <w:sz w:val="28"/>
          <w:szCs w:val="28"/>
          <w:lang w:val="en-US"/>
        </w:rPr>
        <w:t xml:space="preserve"> across EU Regions of excellence</w:t>
      </w:r>
      <w:r w:rsidRPr="003D12B4">
        <w:rPr>
          <w:sz w:val="28"/>
          <w:szCs w:val="28"/>
          <w:lang w:val="en-US"/>
        </w:rPr>
        <w:t>»</w:t>
      </w:r>
    </w:p>
    <w:p w:rsidR="006E5B3C" w:rsidRPr="003D12B4" w:rsidRDefault="003B2977" w:rsidP="003B2977">
      <w:pPr>
        <w:jc w:val="center"/>
        <w:rPr>
          <w:sz w:val="28"/>
          <w:szCs w:val="28"/>
        </w:rPr>
      </w:pPr>
      <w:r w:rsidRPr="003D12B4">
        <w:rPr>
          <w:sz w:val="28"/>
          <w:szCs w:val="28"/>
        </w:rPr>
        <w:t>N o. 2016-1-IT01-KA102-</w:t>
      </w:r>
      <w:r w:rsidR="003D12B4" w:rsidRPr="003D12B4">
        <w:rPr>
          <w:sz w:val="28"/>
          <w:szCs w:val="28"/>
        </w:rPr>
        <w:t>005117</w:t>
      </w:r>
    </w:p>
    <w:p w:rsidR="003B2977" w:rsidRPr="003D12B4" w:rsidRDefault="003B2977" w:rsidP="003B2977">
      <w:pPr>
        <w:jc w:val="center"/>
        <w:rPr>
          <w:b/>
        </w:rPr>
      </w:pPr>
    </w:p>
    <w:p w:rsidR="003B2977" w:rsidRPr="003D12B4" w:rsidRDefault="003B2977" w:rsidP="003B2977">
      <w:pPr>
        <w:jc w:val="center"/>
        <w:rPr>
          <w:b/>
        </w:rPr>
      </w:pPr>
    </w:p>
    <w:p w:rsidR="006E5B3C" w:rsidRPr="006E5B3C" w:rsidRDefault="006E5B3C" w:rsidP="003B2977">
      <w:pPr>
        <w:jc w:val="center"/>
        <w:rPr>
          <w:b/>
        </w:rPr>
      </w:pPr>
      <w:r w:rsidRPr="006E5B3C">
        <w:rPr>
          <w:b/>
        </w:rPr>
        <w:t>FAQ</w:t>
      </w:r>
    </w:p>
    <w:p w:rsidR="006E5B3C" w:rsidRPr="006E5B3C" w:rsidRDefault="006E5B3C" w:rsidP="006E5B3C">
      <w:pPr>
        <w:rPr>
          <w:b/>
        </w:rPr>
      </w:pPr>
      <w:r w:rsidRPr="006E5B3C">
        <w:rPr>
          <w:b/>
        </w:rPr>
        <w:t>1-  Erogazione del contributo finanziario (pocket money) “una tantum”</w:t>
      </w:r>
    </w:p>
    <w:p w:rsidR="006E5B3C" w:rsidRDefault="006E5B3C" w:rsidP="006E5B3C">
      <w:pPr>
        <w:jc w:val="both"/>
      </w:pPr>
      <w:r>
        <w:t xml:space="preserve">Il   pocket   money   viene   erogato   a   ciascun   partecipante   in   contanti direttamente dal partner estero ospitante, in due soluzioni per le esperienze di mobilità di 1 mese (all’inizio ed alla fine della mobilità), in 3 soluzioni per le esperienze di mobilità di </w:t>
      </w:r>
      <w:r w:rsidR="003D12B4">
        <w:t>2</w:t>
      </w:r>
      <w:r>
        <w:t xml:space="preserve"> mesi (una soluzione iniziale, una intermedia e una finale).</w:t>
      </w:r>
    </w:p>
    <w:p w:rsidR="006E5B3C" w:rsidRDefault="006E5B3C" w:rsidP="006E5B3C"/>
    <w:p w:rsidR="006E5B3C" w:rsidRPr="006E5B3C" w:rsidRDefault="006E5B3C" w:rsidP="006E5B3C">
      <w:pPr>
        <w:rPr>
          <w:b/>
        </w:rPr>
      </w:pPr>
      <w:r w:rsidRPr="006E5B3C">
        <w:rPr>
          <w:b/>
        </w:rPr>
        <w:t>2-  Informazioni in merito all’azienda ospitante</w:t>
      </w:r>
    </w:p>
    <w:p w:rsidR="006E5B3C" w:rsidRDefault="006E5B3C" w:rsidP="006E5B3C">
      <w:pPr>
        <w:jc w:val="both"/>
      </w:pPr>
      <w:r>
        <w:t>Le informazioni relative all’azienda presso la quale si svolgerà il tirocinio formativo  verranno  comunicate  dal  partner  estero  ospitante  durante  il meeting introduttivo che si terrà nel giorno successivo all’arrivo nel paese di destinazione.</w:t>
      </w:r>
    </w:p>
    <w:p w:rsidR="006E5B3C" w:rsidRDefault="006E5B3C" w:rsidP="006E5B3C"/>
    <w:p w:rsidR="006E5B3C" w:rsidRPr="006E5B3C" w:rsidRDefault="006E5B3C" w:rsidP="006E5B3C">
      <w:pPr>
        <w:rPr>
          <w:b/>
        </w:rPr>
      </w:pPr>
      <w:r w:rsidRPr="006E5B3C">
        <w:rPr>
          <w:b/>
        </w:rPr>
        <w:t>3-  Giorni ed orari di tirocinio</w:t>
      </w:r>
    </w:p>
    <w:p w:rsidR="006E5B3C" w:rsidRDefault="006E5B3C" w:rsidP="003B2977">
      <w:pPr>
        <w:jc w:val="both"/>
      </w:pPr>
      <w:r>
        <w:t>Il partecipanti saranno impegnati nel tirocinio dal lunedì al venerdì, da un minimo di 6 ore ad un massimo di 8 ore giornaliere, seguendo gli orari e i turni del  personale  interno  alle  aziende  ospitanti.  Per  alcuni  settori,  come  il turismo, sono previsti dei turni serali e di fine settimana (sabato e domenica), ma nel complesso non ecc</w:t>
      </w:r>
      <w:r w:rsidR="003B2977">
        <w:t>ederanno le 40 ore settimanali.</w:t>
      </w:r>
    </w:p>
    <w:p w:rsidR="006E5B3C" w:rsidRDefault="006E5B3C" w:rsidP="006E5B3C"/>
    <w:p w:rsidR="003B2977" w:rsidRDefault="003B2977" w:rsidP="006E5B3C"/>
    <w:p w:rsidR="003B2977" w:rsidRDefault="003B2977" w:rsidP="006E5B3C"/>
    <w:p w:rsidR="003B2977" w:rsidRDefault="003B2977" w:rsidP="006E5B3C"/>
    <w:p w:rsidR="003B2977" w:rsidRDefault="003B2977" w:rsidP="006E5B3C"/>
    <w:p w:rsidR="003B2977" w:rsidRDefault="003B2977" w:rsidP="006E5B3C"/>
    <w:p w:rsidR="006E5B3C" w:rsidRPr="006E5B3C" w:rsidRDefault="006E5B3C" w:rsidP="006E5B3C">
      <w:pPr>
        <w:rPr>
          <w:b/>
        </w:rPr>
      </w:pPr>
      <w:r w:rsidRPr="006E5B3C">
        <w:rPr>
          <w:b/>
        </w:rPr>
        <w:t>4-  Dotazioni e disposizione negli alloggi</w:t>
      </w:r>
    </w:p>
    <w:p w:rsidR="006E5B3C" w:rsidRDefault="006E5B3C" w:rsidP="006E5B3C">
      <w:pPr>
        <w:jc w:val="both"/>
      </w:pPr>
      <w:r>
        <w:t>Gli alloggi sono generalmente forniti delle seguenti dotazioni: internet wifi, 1 set di lenzuola, 1 coperta, 1 set di asciugamani, lavatrice, utensili per la cucina (pentole, posate, piatti, bicchieri etc.).</w:t>
      </w:r>
    </w:p>
    <w:p w:rsidR="006E5B3C" w:rsidRDefault="006E5B3C" w:rsidP="006E5B3C">
      <w:pPr>
        <w:jc w:val="both"/>
      </w:pPr>
      <w:r>
        <w:t>I partecipanti alloggeranno in camere doppie</w:t>
      </w:r>
      <w:r w:rsidR="002915BA">
        <w:t>/triple</w:t>
      </w:r>
      <w:r>
        <w:t>, condividendo gli spazi comuni (bagno,  cucina,  sala)  con  gli  altri  inquilini  dell’appartamento,  anch’essi partecipanti a progetti di mobilità europea (stesso progetto o progetti simili). Generalmente gli alloggi sono composti da 3 camere da letto da 2 posti letto ciascuno (6 posti letto in totale), 2 bagni, cucina e sala.</w:t>
      </w:r>
    </w:p>
    <w:p w:rsidR="006E5B3C" w:rsidRDefault="006E5B3C" w:rsidP="006E5B3C">
      <w:pPr>
        <w:jc w:val="both"/>
      </w:pPr>
      <w:r>
        <w:t>Nel caso delle host families, i partecipanti verranno alloggiati in una camera doppia per ciascuna host family.</w:t>
      </w:r>
    </w:p>
    <w:p w:rsidR="006E5B3C" w:rsidRDefault="006E5B3C" w:rsidP="006E5B3C"/>
    <w:p w:rsidR="006E5B3C" w:rsidRPr="006E5B3C" w:rsidRDefault="006E5B3C" w:rsidP="006E5B3C">
      <w:pPr>
        <w:rPr>
          <w:b/>
        </w:rPr>
      </w:pPr>
      <w:r w:rsidRPr="006E5B3C">
        <w:rPr>
          <w:b/>
        </w:rPr>
        <w:t>5-  Copertura assicurativa</w:t>
      </w:r>
    </w:p>
    <w:p w:rsidR="006E5B3C" w:rsidRDefault="006E5B3C" w:rsidP="006E5B3C">
      <w:pPr>
        <w:jc w:val="both"/>
      </w:pPr>
      <w:r>
        <w:t>Il partecipante è coperto da polizza assicurativa Infortuni ed RCT (Responsabilità Civile e Danni a Terzi).</w:t>
      </w:r>
    </w:p>
    <w:p w:rsidR="006E5B3C" w:rsidRDefault="006E5B3C" w:rsidP="006E5B3C">
      <w:pPr>
        <w:jc w:val="both"/>
      </w:pPr>
      <w:r>
        <w:t>Tale polizza è attiva solo nel caso in cui i sinistri si verifichino durante lo svolgimento delle attività di tirocinio in azienda o durante il corso di lingua.</w:t>
      </w:r>
    </w:p>
    <w:p w:rsidR="006E5B3C" w:rsidRDefault="006E5B3C" w:rsidP="006E5B3C"/>
    <w:p w:rsidR="006E5B3C" w:rsidRDefault="006E5B3C" w:rsidP="006E5B3C"/>
    <w:p w:rsidR="006E5B3C" w:rsidRPr="006E5B3C" w:rsidRDefault="006E5B3C" w:rsidP="006E5B3C">
      <w:pPr>
        <w:rPr>
          <w:b/>
        </w:rPr>
      </w:pPr>
      <w:r w:rsidRPr="006E5B3C">
        <w:rPr>
          <w:b/>
        </w:rPr>
        <w:t>6-  Assistenza sanitaria all’estero</w:t>
      </w:r>
    </w:p>
    <w:p w:rsidR="004C364B" w:rsidRDefault="006E5B3C" w:rsidP="006E5B3C">
      <w:pPr>
        <w:jc w:val="both"/>
      </w:pPr>
      <w:r>
        <w:t>Il partecipante, a condizione che abbia con se la Tessera Sanitaria (TEAM), per ottenere  le  prestazioni  può  recarsi  direttamente  presso  un medico  o  una struttura sanitaria pubblica o convenzionata ed esibire la TEAM, che da diritto a ricevere le cure alle stesse condizioni degli assistiti del Paese in cui ci si trova. L’assistenza è in forma diretta e pertanto nulla è dovuto, eccetto il pagamento di un eventuale ticket che può essere rimborsato dalla propria ASL di residenza una volta rientrati in Italia. A questo proposito è necessario conservare il ticket ed eventuali altre ricevute e/o certificati medici.</w:t>
      </w:r>
    </w:p>
    <w:sectPr w:rsidR="004C364B" w:rsidSect="003710B9">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9E1" w:rsidRDefault="001B09E1" w:rsidP="006E5B3C">
      <w:pPr>
        <w:spacing w:after="0" w:line="240" w:lineRule="auto"/>
      </w:pPr>
      <w:r>
        <w:separator/>
      </w:r>
    </w:p>
  </w:endnote>
  <w:endnote w:type="continuationSeparator" w:id="1">
    <w:p w:rsidR="001B09E1" w:rsidRDefault="001B09E1" w:rsidP="006E5B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9E1" w:rsidRDefault="001B09E1" w:rsidP="006E5B3C">
      <w:pPr>
        <w:spacing w:after="0" w:line="240" w:lineRule="auto"/>
      </w:pPr>
      <w:r>
        <w:separator/>
      </w:r>
    </w:p>
  </w:footnote>
  <w:footnote w:type="continuationSeparator" w:id="1">
    <w:p w:rsidR="001B09E1" w:rsidRDefault="001B09E1" w:rsidP="006E5B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3C" w:rsidRDefault="006E5B3C">
    <w:pPr>
      <w:pStyle w:val="Intestazione"/>
    </w:pPr>
    <w:r>
      <w:rPr>
        <w:noProof/>
      </w:rPr>
      <w:drawing>
        <wp:inline distT="0" distB="0" distL="0" distR="0">
          <wp:extent cx="2526030" cy="625050"/>
          <wp:effectExtent l="1905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526030" cy="625050"/>
                  </a:xfrm>
                  <a:prstGeom prst="rect">
                    <a:avLst/>
                  </a:prstGeom>
                  <a:noFill/>
                  <a:ln w="9525">
                    <a:noFill/>
                    <a:miter lim="800000"/>
                    <a:headEnd/>
                    <a:tailEnd/>
                  </a:ln>
                </pic:spPr>
              </pic:pic>
            </a:graphicData>
          </a:graphic>
        </wp:inline>
      </w:drawing>
    </w:r>
    <w:r>
      <w:t xml:space="preserve">                 </w:t>
    </w:r>
    <w:r w:rsidR="003D12B4">
      <w:t xml:space="preserve">                                             </w:t>
    </w:r>
    <w:r>
      <w:t xml:space="preserve">  </w:t>
    </w:r>
    <w:r w:rsidR="003D12B4" w:rsidRPr="003D12B4">
      <w:rPr>
        <w:noProof/>
      </w:rPr>
      <w:drawing>
        <wp:inline distT="0" distB="0" distL="0" distR="0">
          <wp:extent cx="1138238" cy="1155700"/>
          <wp:effectExtent l="19050" t="0" r="4762" b="0"/>
          <wp:docPr id="3" name="Immagine 1"/>
          <wp:cNvGraphicFramePr/>
          <a:graphic xmlns:a="http://schemas.openxmlformats.org/drawingml/2006/main">
            <a:graphicData uri="http://schemas.openxmlformats.org/drawingml/2006/picture">
              <pic:pic xmlns:pic="http://schemas.openxmlformats.org/drawingml/2006/picture">
                <pic:nvPicPr>
                  <pic:cNvPr id="9224" name="Picture 8"/>
                  <pic:cNvPicPr>
                    <a:picLocks noChangeAspect="1" noChangeArrowheads="1"/>
                  </pic:cNvPicPr>
                </pic:nvPicPr>
                <pic:blipFill>
                  <a:blip r:embed="rId2"/>
                  <a:srcRect/>
                  <a:stretch>
                    <a:fillRect/>
                  </a:stretch>
                </pic:blipFill>
                <pic:spPr bwMode="auto">
                  <a:xfrm>
                    <a:off x="0" y="0"/>
                    <a:ext cx="1138238" cy="1155700"/>
                  </a:xfrm>
                  <a:prstGeom prst="rect">
                    <a:avLst/>
                  </a:prstGeom>
                  <a:noFill/>
                  <a:ln w="9525">
                    <a:noFill/>
                    <a:miter lim="800000"/>
                    <a:headEnd/>
                    <a:tailEnd/>
                  </a:ln>
                </pic:spPr>
              </pic:pic>
            </a:graphicData>
          </a:graphic>
        </wp:inline>
      </w:drawing>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3314"/>
  </w:hdrShapeDefaults>
  <w:footnotePr>
    <w:footnote w:id="0"/>
    <w:footnote w:id="1"/>
  </w:footnotePr>
  <w:endnotePr>
    <w:endnote w:id="0"/>
    <w:endnote w:id="1"/>
  </w:endnotePr>
  <w:compat>
    <w:useFELayout/>
  </w:compat>
  <w:rsids>
    <w:rsidRoot w:val="006E5B3C"/>
    <w:rsid w:val="00100D25"/>
    <w:rsid w:val="001B09E1"/>
    <w:rsid w:val="002915BA"/>
    <w:rsid w:val="003710B9"/>
    <w:rsid w:val="003B2977"/>
    <w:rsid w:val="003B51ED"/>
    <w:rsid w:val="003D12B4"/>
    <w:rsid w:val="004C364B"/>
    <w:rsid w:val="005C73C8"/>
    <w:rsid w:val="006B7850"/>
    <w:rsid w:val="006E5B3C"/>
    <w:rsid w:val="00B206C8"/>
    <w:rsid w:val="00BC7E0A"/>
    <w:rsid w:val="00E476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10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E5B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E5B3C"/>
  </w:style>
  <w:style w:type="paragraph" w:styleId="Pidipagina">
    <w:name w:val="footer"/>
    <w:basedOn w:val="Normale"/>
    <w:link w:val="PidipaginaCarattere"/>
    <w:uiPriority w:val="99"/>
    <w:semiHidden/>
    <w:unhideWhenUsed/>
    <w:rsid w:val="006E5B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E5B3C"/>
  </w:style>
  <w:style w:type="paragraph" w:styleId="Testofumetto">
    <w:name w:val="Balloon Text"/>
    <w:basedOn w:val="Normale"/>
    <w:link w:val="TestofumettoCarattere"/>
    <w:uiPriority w:val="99"/>
    <w:semiHidden/>
    <w:unhideWhenUsed/>
    <w:rsid w:val="006E5B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5B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8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472</Words>
  <Characters>2691</Characters>
  <Application>Microsoft Office Word</Application>
  <DocSecurity>0</DocSecurity>
  <Lines>22</Lines>
  <Paragraphs>6</Paragraphs>
  <ScaleCrop>false</ScaleCrop>
  <Company>BASTARDS TeaM</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2017-01-16T20:00:00Z</dcterms:created>
  <dcterms:modified xsi:type="dcterms:W3CDTF">2017-02-02T08:52:00Z</dcterms:modified>
</cp:coreProperties>
</file>